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61" w:rsidRPr="00C03EEC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9F2E61" w:rsidRPr="009F2E61" w:rsidRDefault="00C03EEC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БАТУРИНСКОГО</w:t>
      </w:r>
      <w:r w:rsidR="009F2E61"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F2E61" w:rsidRPr="009F2E61" w:rsidRDefault="00C03EEC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30.10.2018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262</w:t>
      </w:r>
    </w:p>
    <w:p w:rsidR="009F2E61" w:rsidRPr="009F2E61" w:rsidRDefault="009F2E61" w:rsidP="009F2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установлении п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D25E0E"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</w:p>
    <w:p w:rsidR="009F2E61" w:rsidRPr="006A36D7" w:rsidRDefault="009F2E61" w:rsidP="009F2E61">
      <w:pPr>
        <w:tabs>
          <w:tab w:val="left" w:pos="9923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6A36D7" w:rsidRDefault="00D25E0E" w:rsidP="00D25E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179 </w:t>
      </w:r>
      <w:r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Бюджетного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Российской Федерации</w:t>
      </w:r>
      <w:r w:rsidR="009F2E61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E0E" w:rsidRPr="006A36D7" w:rsidRDefault="00D25E0E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2E61" w:rsidRPr="006A36D7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F2E61" w:rsidRPr="006A36D7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принятия решения о разработке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формировании и реализации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 к настоящему постановлению.</w:t>
      </w:r>
    </w:p>
    <w:p w:rsidR="009F2E61" w:rsidRP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етодику оценки эффективности реализации муниципальн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согласно приложению № 2 к настоящему постановлению.</w:t>
      </w:r>
    </w:p>
    <w:p w:rsidR="009F2E61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F2E61" w:rsidRPr="00F40C74" w:rsidRDefault="009F2E61" w:rsidP="00F40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</w:t>
      </w:r>
      <w:r w:rsidR="00F40C74"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06.02.2013 № 47 « О муниципальных программах»</w:t>
      </w:r>
      <w:r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C74" w:rsidRPr="00F40C74" w:rsidRDefault="00F40C74" w:rsidP="00F40C74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9F2E61" w:rsidRPr="00F40C74">
        <w:rPr>
          <w:rFonts w:ascii="Times New Roman" w:eastAsia="Times New Roman" w:hAnsi="Times New Roman" w:cs="Times New Roman"/>
          <w:lang w:eastAsia="ru-RU"/>
        </w:rPr>
        <w:t xml:space="preserve">2) от </w:t>
      </w:r>
      <w:r w:rsidRPr="00F40C74">
        <w:rPr>
          <w:rFonts w:ascii="Times New Roman" w:eastAsia="Times New Roman" w:hAnsi="Times New Roman" w:cs="Times New Roman"/>
          <w:lang w:eastAsia="ru-RU"/>
        </w:rPr>
        <w:t>24.06.2013 № 134 «</w:t>
      </w:r>
      <w:r w:rsidRPr="00F40C74">
        <w:rPr>
          <w:rFonts w:ascii="Times New Roman" w:hAnsi="Times New Roman" w:cs="Times New Roman"/>
          <w:sz w:val="24"/>
          <w:szCs w:val="24"/>
        </w:rPr>
        <w:t>О внесении изменения в постановление № 47 от 6 февраля 2013 г.  «О долгосрочных целевых программах"</w:t>
      </w:r>
    </w:p>
    <w:p w:rsidR="009F2E61" w:rsidRPr="00F40C74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официальном печатном издании «Информационный бюллетень»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C03EEC" w:rsidRPr="00F40C74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C74" w:rsidRDefault="009F2E61" w:rsidP="009F2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</w:t>
      </w:r>
      <w:r w:rsidR="00F40C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бухгалтера.</w:t>
      </w:r>
    </w:p>
    <w:p w:rsid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74" w:rsidRDefault="00F40C74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C74" w:rsidRPr="009F2E61" w:rsidRDefault="00F40C74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61" w:rsidRPr="009F2E61" w:rsidRDefault="00C03EEC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Батуринского 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  <w:r w:rsidR="009F2E61" w:rsidRPr="009F2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F2E61" w:rsidRPr="009F2E61" w:rsidRDefault="009F2E61" w:rsidP="009F2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725" w:rsidRDefault="00F11725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C03EEC" w:rsidRDefault="00C03EEC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9F2E61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D25E0E" w:rsidRDefault="00D25E0E" w:rsidP="00045DD8">
      <w:pPr>
        <w:ind w:left="5529"/>
        <w:rPr>
          <w:rFonts w:ascii="Times New Roman" w:hAnsi="Times New Roman"/>
          <w:i/>
          <w:sz w:val="28"/>
          <w:szCs w:val="28"/>
        </w:rPr>
      </w:pPr>
    </w:p>
    <w:p w:rsidR="009F2E61" w:rsidRDefault="00F11725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bookmarkStart w:id="0" w:name="Par48"/>
      <w:bookmarkEnd w:id="0"/>
      <w:r w:rsidRPr="00F1172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F2E61">
        <w:rPr>
          <w:rFonts w:ascii="Times New Roman" w:hAnsi="Times New Roman"/>
          <w:sz w:val="24"/>
          <w:szCs w:val="24"/>
        </w:rPr>
        <w:t>№ 1</w:t>
      </w:r>
      <w:r w:rsidR="00D25E0E">
        <w:rPr>
          <w:rFonts w:ascii="Times New Roman" w:hAnsi="Times New Roman"/>
          <w:sz w:val="24"/>
          <w:szCs w:val="24"/>
        </w:rPr>
        <w:t xml:space="preserve">к </w:t>
      </w:r>
      <w:r w:rsidR="009F2E61">
        <w:rPr>
          <w:rFonts w:ascii="Times New Roman" w:hAnsi="Times New Roman"/>
          <w:sz w:val="24"/>
          <w:szCs w:val="24"/>
        </w:rPr>
        <w:t>постановлени</w:t>
      </w:r>
      <w:r w:rsidR="00D25E0E">
        <w:rPr>
          <w:rFonts w:ascii="Times New Roman" w:hAnsi="Times New Roman"/>
          <w:sz w:val="24"/>
          <w:szCs w:val="24"/>
        </w:rPr>
        <w:t>ю</w:t>
      </w:r>
      <w:r w:rsidR="009F2E61">
        <w:rPr>
          <w:rFonts w:ascii="Times New Roman" w:hAnsi="Times New Roman"/>
          <w:sz w:val="24"/>
          <w:szCs w:val="24"/>
        </w:rPr>
        <w:t xml:space="preserve"> Администрации </w:t>
      </w:r>
      <w:r w:rsidR="00C03EEC">
        <w:rPr>
          <w:rFonts w:ascii="Times New Roman" w:hAnsi="Times New Roman"/>
          <w:sz w:val="24"/>
          <w:szCs w:val="24"/>
        </w:rPr>
        <w:t>Батуринского</w:t>
      </w:r>
      <w:r w:rsidR="009F2E61">
        <w:rPr>
          <w:rFonts w:ascii="Times New Roman" w:hAnsi="Times New Roman"/>
          <w:sz w:val="24"/>
          <w:szCs w:val="24"/>
        </w:rPr>
        <w:t xml:space="preserve"> сельского </w:t>
      </w:r>
    </w:p>
    <w:p w:rsidR="00F11725" w:rsidRPr="00F11725" w:rsidRDefault="009F2E61" w:rsidP="009F2E61">
      <w:pPr>
        <w:spacing w:after="0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</w:t>
      </w:r>
      <w:r w:rsidR="00C03EEC">
        <w:rPr>
          <w:rFonts w:ascii="Times New Roman" w:hAnsi="Times New Roman"/>
          <w:sz w:val="24"/>
          <w:szCs w:val="24"/>
        </w:rPr>
        <w:t xml:space="preserve"> 30.10.2018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03EEC">
        <w:rPr>
          <w:rFonts w:ascii="Times New Roman" w:hAnsi="Times New Roman"/>
          <w:sz w:val="24"/>
          <w:szCs w:val="24"/>
        </w:rPr>
        <w:t>262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045DD8" w:rsidRDefault="00045DD8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74D3" w:rsidRPr="006A36D7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  <w:r w:rsidR="006A1364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2E61" w:rsidRPr="006A36D7" w:rsidRDefault="006A1364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принятия решени</w:t>
      </w:r>
      <w:r w:rsidR="00A1527C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разработке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формировании и реализации 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="009F2E61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41CB" w:rsidRPr="00BC41CB" w:rsidRDefault="00D25E0E" w:rsidP="006A13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 </w:t>
      </w:r>
      <w:r w:rsidR="00C03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BC41CB" w:rsidP="007506DC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55"/>
      <w:bookmarkEnd w:id="1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принятия решения о разработке, формировании и реализации 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</w:t>
      </w:r>
      <w:r w:rsidR="00D25E0E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="009360B2" w:rsidRPr="006A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программ, (далее – Порядок)</w:t>
      </w:r>
      <w:r w:rsidR="009360B2" w:rsidRPr="006A3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правила принятия решения о разработке м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9360B2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A1364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(далее – </w:t>
      </w:r>
      <w:r w:rsidR="00E33320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программа), их формирования и реализации.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понятия, используемые в настоящем Порядке:</w:t>
      </w:r>
    </w:p>
    <w:p w:rsidR="00BC41CB" w:rsidRPr="00BC41CB" w:rsidRDefault="00BC41CB" w:rsidP="006A13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обеспечивающих наиболее эффективное достижение целей и решение задач социально-экономического развития;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одпрограмма) - комплекс взаимоувязанных по целям, срокам и ресурсам мероприятий, выделенный исходя из масштаба и сложности задач, решаемых в рамках муниципальной программы, и направленный на решение одной задачи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сновное мероприятие) - комплекс взаимоувязанных по срокам и ресурсам мероприятий, направленных на реализацию одной из задач в среднесрочной перспективе, и детализируемый мероприятиями;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ероприятие) - действие, направленное на реализацию одной из задач в среднесрочной перспективе, входящее в состав ведомственной целевой программы, основного мероприятия;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(далее - </w:t>
      </w:r>
      <w:r w:rsidR="00E333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тветственный исполнитель) –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 поселения)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специалисты администрации)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определены в качестве ответственного за разработку и реализацию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конечного результата ведомственной целевой программы, основного мероприятия муниципальной программы - выраженный в количественно измеримом показателе результат достижения </w:t>
      </w:r>
      <w:r w:rsidRP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ведомственной целевой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основного мероприятия, характеризующий общественно значимый результат деятельности и полученные социальные эффекты;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непосредственного результата мероприятий муниципальной программы - выраженный в количественно измеримом показателе результат, характеризующий реализацию мероприятия, в том числе результат проведенных работ;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Муниципальн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, предлагаем</w:t>
      </w:r>
      <w:r w:rsidR="006A1364">
        <w:rPr>
          <w:rFonts w:ascii="Times New Roman" w:eastAsia="Times New Roman" w:hAnsi="Times New Roman" w:cs="Calibri"/>
          <w:sz w:val="24"/>
          <w:szCs w:val="24"/>
          <w:lang w:eastAsia="ru-RU"/>
        </w:rPr>
        <w:t>ая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к реализации начиная с очередного финансового года подлеж</w:t>
      </w:r>
      <w:r w:rsidR="006B3B5B">
        <w:rPr>
          <w:rFonts w:ascii="Times New Roman" w:eastAsia="Times New Roman" w:hAnsi="Times New Roman" w:cs="Calibri"/>
          <w:sz w:val="24"/>
          <w:szCs w:val="24"/>
          <w:lang w:eastAsia="ru-RU"/>
        </w:rPr>
        <w:t>ит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утверждению в срок не позднее 1 декабря текущего финансового года.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Срок реализации муниципальной программы 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составляет 6 лет, если иные требования не установлены </w:t>
      </w:r>
      <w:r w:rsidR="00D25E0E" w:rsidRPr="006A36D7">
        <w:rPr>
          <w:rFonts w:ascii="Times New Roman" w:eastAsia="Times New Roman" w:hAnsi="Times New Roman" w:cs="Calibri"/>
          <w:sz w:val="24"/>
          <w:szCs w:val="24"/>
          <w:lang w:eastAsia="ru-RU"/>
        </w:rPr>
        <w:t>законодательством Российской Федерации.</w:t>
      </w: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213" w:rsidRDefault="00A74213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A1364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содержанию и структуре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разработке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учитываются: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hyperlink r:id="rId9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социально-экономического развития, определенные </w:t>
      </w:r>
      <w:hyperlink r:id="rId1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Стратегией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среднесрочные цели социально-экономического развития, определенные Стратегией социально-экономического развития Асиновского района до 2030 года, утвержденной Решением Думы Асиновского района от 24.12.2015 № 26.</w:t>
      </w:r>
    </w:p>
    <w:p w:rsidR="00BC41CB" w:rsidRPr="00BC41CB" w:rsidRDefault="009360B2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разрабатывается исходя из следующих принципов: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полный охват сфер социально-экономического развития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бюджетных ассигнований бюджета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936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местный бюджет)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измеримых результатов реализации целей и задач муниципальн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ответственного исполнителя полномочий, необходимых и достаточных для достижения цели и задач муниципальной программы;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содержит: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(при принятии решения о наличии).</w:t>
      </w:r>
    </w:p>
    <w:p w:rsidR="0047502C" w:rsidRPr="006A36D7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включает в себя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E0E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реднесрочн</w:t>
      </w:r>
      <w:r w:rsid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социально-экономического развития поселения, на реализацию которой направлена муниципальная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75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цели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02C" w:rsidRDefault="0047502C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программы;</w:t>
      </w:r>
    </w:p>
    <w:p w:rsidR="0047502C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оказатели задач муниципальной программы и их значения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в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входящи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муниципальной программы (при их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7ED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ED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и источники финансирования муниципальной программы (с детализацией по годам реализации)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Текстовая часть муниципальной программы состоит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состояния сферы реализации муниципальной программы, в том числе основны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проблем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 и прогноз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развития;</w:t>
      </w:r>
    </w:p>
    <w:p w:rsid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 муниципальной программы, показател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 муниципальной программы;</w:t>
      </w:r>
    </w:p>
    <w:p w:rsidR="00D25E0E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D25E0E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892F9A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47502C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9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программы.</w:t>
      </w:r>
    </w:p>
    <w:p w:rsidR="00BC41CB" w:rsidRPr="00BC41CB" w:rsidRDefault="00E37EDE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 паспорт подпрограммы, перечень ведомственных целевых программ и (или) основных мероприятий и их ресурсное обеспечение, условия и порядок софинансирования подпрограмм из федерального бюджета, областного бюджета,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местных бюджетов, внебюджетных источников.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муниципальную программу включаются все расходы бюджета за исключением: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ассигнование на содержание Главы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обеспечение выполнения функций </w:t>
      </w:r>
      <w:r w:rsidR="00045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A1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исполнение судебных актов;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ассигнований на создание резервных фондов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BC41CB" w:rsidRPr="00BC41CB" w:rsidRDefault="00BC41CB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ассигнований, зарезервированных в том числе на увеличение фонда оплаты труда и выплату страховых взносов.</w:t>
      </w:r>
    </w:p>
    <w:p w:rsidR="00BC41CB" w:rsidRPr="00BC41CB" w:rsidRDefault="00DD0516" w:rsidP="006A13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если федеральным законодательством, законодательством субъекта Российской Федерации, в том числе правилами предоставления и распределения субсидий из федерального бюджета, бюджета субъекта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местному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установлены иные требования к содержанию проекта муниципальной программы, проект муниципальной программы оформляется в соответствии с требованиями федерального и регионального законодательства.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A74213" w:rsidRDefault="007506DC" w:rsidP="007506DC">
      <w:pPr>
        <w:pStyle w:val="af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17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C41CB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олномочия ответственного исполнителя при разработке и реализации муниципальной программы</w:t>
      </w:r>
    </w:p>
    <w:p w:rsidR="00A74213" w:rsidRPr="00A74213" w:rsidRDefault="00A74213" w:rsidP="00A74213">
      <w:pPr>
        <w:pStyle w:val="af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осуществляются ответственным исполнителем.</w:t>
      </w:r>
    </w:p>
    <w:p w:rsidR="00BC41CB" w:rsidRPr="00BC41CB" w:rsidRDefault="00DD051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22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перечень подпрограмм, если принято решение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наличии, определяет задачи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паспорт, текстовую часть муниципальной программы, ресурсное обеспечение и приложения к муниципальной программе;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по формированию подпрограмм, в том числе по разработке ведомственной целевой программы, основного мероприятия;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согласование муниципальной программы в соответствии с порядком согласования нормативно-правовых актов, принятым в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проектов изменений в муниципальную программу и их согласование в случаях, установленных настоящим Порядком;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координирует деятельность;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показателей цели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мониторинг реализации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отчеты о реал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муниципальной программы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срок до 10 февраля года, следующего за отчетным;</w:t>
      </w:r>
    </w:p>
    <w:p w:rsidR="003C3929" w:rsidRPr="00DD0516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 муниципальной программы</w:t>
      </w:r>
      <w:r w:rsidR="003C3929" w:rsidRP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C392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3929" w:rsidRP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разм</w:t>
      </w:r>
      <w:r w:rsidR="000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ещение</w:t>
      </w:r>
      <w:r w:rsidR="000014B9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 отчета о реализации муниципальной программы на официальн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C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929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срок не позднее 25 марта года, следующего за отчетным годом.</w:t>
      </w:r>
    </w:p>
    <w:p w:rsidR="00A74213" w:rsidRPr="00BC41CB" w:rsidRDefault="00A74213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213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63"/>
      <w:bookmarkEnd w:id="5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</w:t>
      </w:r>
      <w:r w:rsidR="006E4C07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ринятие решения о разработке муниципальной программы, </w:t>
      </w:r>
    </w:p>
    <w:p w:rsidR="006E4C07" w:rsidRPr="00A74213" w:rsidRDefault="006E4C07" w:rsidP="006E4C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и утверждение</w:t>
      </w:r>
    </w:p>
    <w:p w:rsidR="00A74213" w:rsidRDefault="00A74213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проекта муниципальной программы осуществляется ответственным исполнителем</w:t>
      </w:r>
      <w:r w:rsidR="00964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проекта муниципальной программы: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разрабатывает проект муниципальной программы в соответствии с Методическими </w:t>
      </w:r>
      <w:hyperlink w:anchor="Par280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рекомендациями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D24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408F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согласно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64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Порядку.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</w:t>
      </w:r>
      <w:r w:rsidR="00D25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разрабатывает: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часть муниципальной программы;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обеспечение;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муниципальной программе;</w:t>
      </w:r>
    </w:p>
    <w:p w:rsidR="00BC41CB" w:rsidRPr="00BC41CB" w:rsidRDefault="00BC41CB" w:rsidP="006E4C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открытости и доступности информации ответственный исполнитель размещает проект муниципальной программы на официальном сайте </w:t>
      </w:r>
      <w:r w:rsidR="006E4C07" w:rsidRP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6E4C07" w:rsidRP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общественного обсуждения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общественного обсуждения составляет 10 календарных дней с даты размещения проекта муниципальной программы на официальном сайте поселения в сети «Интернет».</w:t>
      </w:r>
    </w:p>
    <w:p w:rsidR="00BC41CB" w:rsidRPr="00BC41CB" w:rsidRDefault="00BC41CB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муниципальной программы направляются ответственному исполнителю в течение 10 календарных дней со дня его размещения на официальном сайте.</w:t>
      </w:r>
    </w:p>
    <w:p w:rsidR="00BC41CB" w:rsidRPr="00BC41CB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Доработанный проект муниципальной программы согласовывается с Главой</w:t>
      </w:r>
      <w:r w:rsidR="006E4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окончания общественного обсуждения проекта муниципальной программы.</w:t>
      </w:r>
    </w:p>
    <w:p w:rsidR="00F05555" w:rsidRDefault="001645A6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3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A36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Муниципальная программа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дней:</w:t>
      </w:r>
    </w:p>
    <w:p w:rsidR="00F05555" w:rsidRDefault="00F05555" w:rsidP="006E4C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 общественного обсуждения – в случае отсутствия замечаний и предложений при общественном обсуждении проекта муниципальной программы;</w:t>
      </w:r>
    </w:p>
    <w:p w:rsidR="00F05555" w:rsidRPr="00F05555" w:rsidRDefault="00F05555" w:rsidP="00F055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согласования доработанного проекта муниципальной программы с Главой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в случае наличия замечаний и предложений </w:t>
      </w:r>
      <w:r w:rsidRPr="00F05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общественном обсуждении проекта муниципальной программы;</w:t>
      </w:r>
    </w:p>
    <w:p w:rsidR="00BC41CB" w:rsidRDefault="00F05555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Муниципальные программы, изменения в муниципальные программы подлежат размещению</w:t>
      </w:r>
      <w:r w:rsidR="00E3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поселения </w:t>
      </w:r>
      <w:r w:rsidR="00BC41CB" w:rsidRP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</w:t>
      </w:r>
      <w:r w:rsidR="002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33571" w:rsidRP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bookmarkStart w:id="7" w:name="_GoBack"/>
      <w:bookmarkEnd w:id="7"/>
      <w:r w:rsidR="00117F35" w:rsidRPr="00F7066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момента принятия.</w:t>
      </w:r>
      <w:r w:rsidR="00117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6DC" w:rsidRPr="00BC41CB" w:rsidRDefault="007506DC" w:rsidP="00A742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BC41CB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255"/>
      <w:bookmarkEnd w:id="8"/>
      <w:r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</w:t>
      </w:r>
      <w:r w:rsidR="002E2B9D" w:rsidRPr="00A74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несение изменений 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муниципальную программу и реализация</w:t>
      </w:r>
    </w:p>
    <w:p w:rsidR="00BC41CB" w:rsidRPr="007506DC" w:rsidRDefault="002E2B9D" w:rsidP="00A74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7506DC" w:rsidRDefault="007506DC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E33571" w:rsidRPr="00A74213" w:rsidRDefault="00A74213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21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Внесение изменений в муниципальную программу на очередной финансовый год и плановый период осуществляется по результатам проведения оценки эффективности реализации муниципальной программы в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соответствии с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Методикой </w:t>
      </w:r>
      <w:r w:rsidR="00E33320" w:rsidRPr="00E33320">
        <w:rPr>
          <w:rFonts w:ascii="Times New Roman" w:eastAsia="Times New Roman" w:hAnsi="Times New Roman" w:cs="Calibri"/>
          <w:sz w:val="24"/>
          <w:szCs w:val="24"/>
          <w:lang w:eastAsia="ru-RU"/>
        </w:rPr>
        <w:t>оценки эффективности реализации муниципальн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ых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E3332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становленной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приложением 2 к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ю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Администрации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 от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30.10.2018 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№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262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Об установлении порядка принятия решения о 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поселения, методики оценки эффективности реализации муниципальных программ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».</w:t>
      </w:r>
    </w:p>
    <w:p w:rsidR="00BC41CB" w:rsidRPr="00BC41CB" w:rsidRDefault="00E33320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BC41CB" w:rsidRPr="00A74213">
        <w:rPr>
          <w:rFonts w:ascii="Times New Roman" w:eastAsia="Times New Roman" w:hAnsi="Times New Roman" w:cs="Calibri"/>
          <w:sz w:val="24"/>
          <w:szCs w:val="24"/>
          <w:lang w:eastAsia="ru-RU"/>
        </w:rPr>
        <w:t>. Изменения в муниципальную программу в течение финансового года вносятся с целью приведения муниципальной программы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соответствие с решением 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Совета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</w:t>
      </w:r>
      <w:r w:rsidR="002E2B9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поселения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местном </w:t>
      </w:r>
      <w:r w:rsidR="00BC41CB"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бюджете на очередной финансовый год и плановый период в нижеперечисленных случаях, и следующие сроки: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1) в случае и сроки, установленные статьей 179 Бюджетно</w:t>
      </w:r>
      <w:r w:rsidR="00E33571">
        <w:rPr>
          <w:rFonts w:ascii="Times New Roman" w:eastAsia="Times New Roman" w:hAnsi="Times New Roman" w:cs="Calibri"/>
          <w:sz w:val="24"/>
          <w:szCs w:val="24"/>
          <w:lang w:eastAsia="ru-RU"/>
        </w:rPr>
        <w:t>го кодекса Российской Федерации;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2) в случае выделения бюджетных ассигнований на финансирование новых подпрограмм, основных мероприятий, мероприятий муниципальн</w:t>
      </w:r>
      <w:r w:rsidR="00964610">
        <w:rPr>
          <w:rFonts w:ascii="Times New Roman" w:eastAsia="Times New Roman" w:hAnsi="Times New Roman" w:cs="Calibri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программ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поселения, а так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же изменения бюджетных ассигнований, связанных с выполнением условий о предоставлении межбюджетных трансфертов из областного бюджета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и (или) бюджета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муниципального образования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«Асиновский район»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местному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бюджету, - в течение 20 рабочих дней со дня вступления в силу решения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Совета </w:t>
      </w:r>
      <w:r w:rsidR="00C03EEC">
        <w:rPr>
          <w:rFonts w:ascii="Times New Roman" w:eastAsia="Times New Roman" w:hAnsi="Times New Roman" w:cs="Calibri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сельского </w:t>
      </w:r>
      <w:r w:rsidR="000F735F">
        <w:rPr>
          <w:rFonts w:ascii="Times New Roman" w:eastAsia="Times New Roman" w:hAnsi="Times New Roman" w:cs="Calibri"/>
          <w:sz w:val="24"/>
          <w:szCs w:val="24"/>
          <w:lang w:eastAsia="ru-RU"/>
        </w:rPr>
        <w:t>поселения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 </w:t>
      </w:r>
      <w:r w:rsidR="00F25348">
        <w:rPr>
          <w:rFonts w:ascii="Times New Roman" w:eastAsia="Times New Roman" w:hAnsi="Times New Roman" w:cs="Calibri"/>
          <w:sz w:val="24"/>
          <w:szCs w:val="24"/>
          <w:lang w:eastAsia="ru-RU"/>
        </w:rPr>
        <w:t>местном б</w:t>
      </w: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t>юджете;</w:t>
      </w:r>
    </w:p>
    <w:p w:rsidR="00BC41CB" w:rsidRPr="00BC41CB" w:rsidRDefault="00BC41CB" w:rsidP="002E2B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Calibri"/>
          <w:sz w:val="24"/>
          <w:szCs w:val="24"/>
          <w:lang w:eastAsia="ru-RU"/>
        </w:rPr>
        <w:lastRenderedPageBreak/>
        <w:t xml:space="preserve">3) в случае выделения или изменения бюджетных ассигнований, не предусмотренных в подпунктах 1 и 2 настоящего пункта, -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декабре </w:t>
      </w:r>
      <w:r w:rsidR="00E33571"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текущего </w:t>
      </w:r>
      <w:r w:rsidRPr="00315364">
        <w:rPr>
          <w:rFonts w:ascii="Times New Roman" w:eastAsia="Times New Roman" w:hAnsi="Times New Roman" w:cs="Calibri"/>
          <w:sz w:val="24"/>
          <w:szCs w:val="24"/>
          <w:lang w:eastAsia="ru-RU"/>
        </w:rPr>
        <w:t>финансового года.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275"/>
      <w:bookmarkEnd w:id="9"/>
    </w:p>
    <w:p w:rsidR="00BC41CB" w:rsidRPr="007506DC" w:rsidRDefault="00BC41CB" w:rsidP="00A74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</w:t>
      </w:r>
      <w:r w:rsidR="002E2B9D" w:rsidRPr="00750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ониторинг муниципальной программы</w:t>
      </w:r>
    </w:p>
    <w:p w:rsidR="007506DC" w:rsidRDefault="007506DC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осуществляется ответственным исполнителем ежегодно и направлен на раннее предупреждение возникновения проблем и отклонений хода реализации муниципальной программы от запланированных параметров.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реализации муниципальной программы проводится в целом по муниципальной программе и включает в себя мониторинг реализации основных мероприятий, ведомственных целевых программ, подпрограмм.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мониторинга реализации муниципальной программы ответственный исполнитель формирует годовой отчет о ходе реализации муниципальной программы (да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о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тчет) 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1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формам № 1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history="1">
        <w:r w:rsidR="00BC41CB" w:rsidRPr="000F73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EB58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 (далее - о</w:t>
      </w:r>
      <w:r w:rsidR="00BC41CB" w:rsidRP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тчетные формы).</w:t>
      </w:r>
    </w:p>
    <w:p w:rsidR="00BC41CB" w:rsidRPr="00BC41CB" w:rsidRDefault="00F25348" w:rsidP="002E2B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21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Годовой отчет формируется по состоянию на 31 декабря отчетного года.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48" w:rsidRDefault="00F25348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6DC" w:rsidRDefault="007506DC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71" w:rsidRPr="00BC41CB" w:rsidRDefault="00E33571" w:rsidP="000F735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F25348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506DC" w:rsidRPr="007506DC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5C9"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DA05C9" w:rsidRDefault="00DA05C9" w:rsidP="00F253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Par280"/>
      <w:bookmarkEnd w:id="10"/>
    </w:p>
    <w:p w:rsidR="00DA05C9" w:rsidRDefault="00DA05C9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E2F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51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етодические рекомендации </w:t>
      </w:r>
    </w:p>
    <w:p w:rsidR="00BC41CB" w:rsidRPr="00BC41CB" w:rsidRDefault="00515E2F" w:rsidP="00515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83"/>
      <w:bookmarkEnd w:id="11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w:anchor="Par41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оформляется по форме согласно приложению № 1 к настоящим Методическим рекомендациям по разработке муниципальн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Методические рекомендации).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Среднесрочная цель социально-экономического развития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на которую направлена реализация муниципальной программы, указывается в соответствии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стратегическими документами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Цель, задачи и показатели, а также сроки реализации муниципальной программы указываются в соответствии с требованиями Порядка, а также настоящими Методическими рекомендациями.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Объем бюджетных ассигнований указывается в тысячах рублей с точностью до одного знака после запятой. Указывается общий объем бюджетных ассигнований на реализацию муниципальной программы в целом, а также в разрезе объемов и источников финансирования на весь период реализации муниципальной программы в разбивке по годам.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290"/>
      <w:bookmarkEnd w:id="12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текущего состояния сферы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глава муниципальной программы содержит: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текущего состояния сферы реализации муниципальной программы, включая основные показатели уровня развития сферы, характеристику итогов реализации муниципальной политики в данной сфере (указывается динамика показателей, характеризующих развитие сферы (статистическая и иная отчетность), за три года, предшествующие разработке муниципальной программы);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потенциала развития анализируемой сферы и существующих ограничений (проблем);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развития сферы реализации муниципальной программы и планируемые показатели социально-экономического развития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2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итогам реализации муниципальной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99"/>
      <w:bookmarkStart w:id="14" w:name="Par336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данной главе муниципальной программы отражаются:</w:t>
      </w:r>
    </w:p>
    <w:p w:rsidR="00BC41CB" w:rsidRPr="00BC41CB" w:rsidRDefault="00BC41CB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на реализацию муниципальной программы в целом и с распределением по подпрограммам по </w:t>
      </w:r>
      <w:hyperlink w:anchor="Par632" w:history="1">
        <w:r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</w:t>
      </w:r>
      <w:r w:rsidR="00515E2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ическим рекомендациям.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Источником финансирования реализации ведомственных целевых программ являются исключительно средства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местных бюджетов, 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65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«Асиновский район»,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BC41CB" w:rsidRPr="00BC41CB" w:rsidRDefault="00F25348" w:rsidP="00515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Планирование бюджетных ассигнований на реализацию муниципальн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очередном финансовом году осуществляется в соответствии с нормативными правовыми актами, регулирующими порядок составления проекта местного бюджета и планирование бюджетных ассигнований на очередной финансовый год.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46"/>
      <w:bookmarkEnd w:id="15"/>
    </w:p>
    <w:p w:rsidR="00BC41CB" w:rsidRPr="00BC41CB" w:rsidRDefault="00A1527C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1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15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формируется с учетом согласованности цели и задач подпрограммы с целью и задачами муниципальной программы.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Подпрограмма содержит:</w:t>
      </w:r>
    </w:p>
    <w:p w:rsidR="00BC41CB" w:rsidRPr="00BC41CB" w:rsidRDefault="00785544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998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сферы реализации подпрограммы, описание основных проблем в указанной сфере и прогноз ее развития;</w:t>
      </w:r>
    </w:p>
    <w:p w:rsidR="00BC41CB" w:rsidRPr="00BC41CB" w:rsidRDefault="00785544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210" w:history="1">
        <w:r w:rsidR="00BC41CB" w:rsidRPr="00BC41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ведомственных целевых программ, основных мероприятий и ресурсное обеспечение реализации подпрограммы по форме согласно приложению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C41CB" w:rsidRPr="00BC41CB" w:rsidRDefault="00F25348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характеристике сферы реализации подпрограммы, цели, задачам и показателям достижения цели и решения задач, сроков реализации подпрограммы аналогичны требованиям, предъявляемым к содержанию муниципальной программы.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подпрограммы является задачей муниципальной программы (одна задача муниципальной программы реализуется за счет одной подпрограммы).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подпрограммы направлена на реализацию 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E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BC41CB" w:rsidRPr="00BC41CB" w:rsidRDefault="008E1DB5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реализацию одной задачи подпрограммы направлена только одна ведомственная целевая программа или одно 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 несколько) 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E36E2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C41CB"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детализируемое мероприятиями.</w:t>
      </w:r>
    </w:p>
    <w:p w:rsidR="00BC41CB" w:rsidRPr="00BC41CB" w:rsidRDefault="00BC41CB" w:rsidP="00E36E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задача подпрограммы реализуется ведомственной целевой программой, наименование задачи подпрограммы соответствует названию ведомственной целевой программы.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77"/>
      <w:bookmarkEnd w:id="17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35F" w:rsidRDefault="000F735F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0E" w:rsidRPr="00BC41CB" w:rsidRDefault="00FB5D0E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31B99" w:rsidRPr="00231B99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231B99"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41CB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81"/>
        <w:gridCol w:w="2438"/>
        <w:gridCol w:w="1531"/>
        <w:gridCol w:w="1134"/>
        <w:gridCol w:w="992"/>
        <w:gridCol w:w="284"/>
        <w:gridCol w:w="600"/>
      </w:tblGrid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Среднесрочная цель социально-экономического развития поселения, на реализацию которой направлена муниципальная программа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  <w:r w:rsidR="00DC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наличии)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9F2E61">
          <w:headerReference w:type="default" r:id="rId13"/>
          <w:headerReference w:type="first" r:id="rId14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517"/>
      <w:bookmarkStart w:id="19" w:name="Par626"/>
      <w:bookmarkEnd w:id="18"/>
      <w:bookmarkEnd w:id="19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632"/>
      <w:bookmarkEnd w:id="20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6" w:type="dxa"/>
        <w:tblInd w:w="5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4"/>
        <w:gridCol w:w="1843"/>
        <w:gridCol w:w="1843"/>
        <w:gridCol w:w="1843"/>
        <w:gridCol w:w="1701"/>
        <w:gridCol w:w="1701"/>
        <w:gridCol w:w="1275"/>
        <w:gridCol w:w="1701"/>
        <w:gridCol w:w="1985"/>
      </w:tblGrid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8130F3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0F3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Par653"/>
            <w:bookmarkEnd w:id="21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54609F" w:rsidRDefault="00BC41CB" w:rsidP="0054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ar691"/>
            <w:bookmarkEnd w:id="22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муниципальной программы</w:t>
            </w: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n и (или) Основное 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годам реализации)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i-й год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54609F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770"/>
      <w:bookmarkEnd w:id="23"/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6838" w:h="11905" w:orient="landscape"/>
          <w:pgMar w:top="1077" w:right="1134" w:bottom="851" w:left="1134" w:header="720" w:footer="720" w:gutter="0"/>
          <w:cols w:space="720"/>
          <w:noEndnote/>
        </w:sectPr>
      </w:pP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ar998"/>
      <w:bookmarkEnd w:id="24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24"/>
        <w:gridCol w:w="2041"/>
        <w:gridCol w:w="1531"/>
        <w:gridCol w:w="1134"/>
        <w:gridCol w:w="992"/>
        <w:gridCol w:w="1458"/>
      </w:tblGrid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цели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Предшествующий год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задачи 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целевые программы, входящие в состав подпрограммы (далее - ВЦП)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n</w:t>
            </w:r>
          </w:p>
        </w:tc>
      </w:tr>
      <w:tr w:rsidR="00BC41CB" w:rsidRPr="00BC41CB" w:rsidTr="00045DD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финансирования подпрограммы (с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045DD8">
          <w:pgSz w:w="11905" w:h="16838"/>
          <w:pgMar w:top="1134" w:right="851" w:bottom="1134" w:left="1077" w:header="720" w:footer="720" w:gutter="0"/>
          <w:cols w:space="720"/>
          <w:noEndnote/>
        </w:sectPr>
      </w:pPr>
      <w:bookmarkStart w:id="25" w:name="Par1204"/>
      <w:bookmarkEnd w:id="25"/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B6F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31B99" w:rsidRPr="00231B99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B99" w:rsidRPr="00BC41CB" w:rsidRDefault="00231B99" w:rsidP="008E1DB5">
      <w:pPr>
        <w:widowControl w:val="0"/>
        <w:autoSpaceDE w:val="0"/>
        <w:autoSpaceDN w:val="0"/>
        <w:adjustRightInd w:val="0"/>
        <w:spacing w:after="0" w:line="240" w:lineRule="auto"/>
        <w:ind w:left="991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разработке 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546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ar1210"/>
      <w:bookmarkEnd w:id="26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BC41CB" w:rsidRPr="00BC41CB" w:rsidRDefault="00BC41CB" w:rsidP="008E1DB5">
      <w:pPr>
        <w:widowControl w:val="0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целевых программ, основных мероприятий</w:t>
      </w: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ресурсное обеспечение реализации подпрограммы</w:t>
      </w:r>
    </w:p>
    <w:p w:rsidR="008E1DB5" w:rsidRPr="00BC41CB" w:rsidRDefault="008E1DB5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1816"/>
        <w:gridCol w:w="851"/>
        <w:gridCol w:w="850"/>
        <w:gridCol w:w="142"/>
        <w:gridCol w:w="1701"/>
        <w:gridCol w:w="1701"/>
        <w:gridCol w:w="1276"/>
        <w:gridCol w:w="1701"/>
        <w:gridCol w:w="1417"/>
        <w:gridCol w:w="1559"/>
        <w:gridCol w:w="1134"/>
      </w:tblGrid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Участник/участник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4609F" w:rsidRPr="00BC41CB" w:rsidTr="008E1DB5">
        <w:trPr>
          <w:trHeight w:val="22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  <w:r w:rsidR="00546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местных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609F" w:rsidRPr="00BC41CB" w:rsidTr="008E1DB5">
        <w:trPr>
          <w:trHeight w:val="5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54609F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54609F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(при </w:t>
            </w:r>
            <w:r w:rsidR="00BC41CB"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Par1240"/>
            <w:bookmarkEnd w:id="27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Par1277"/>
            <w:bookmarkEnd w:id="28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подпрограммы</w:t>
            </w: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 Показатель 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Par1385"/>
            <w:bookmarkEnd w:id="29"/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подпрограммы</w:t>
            </w:r>
          </w:p>
        </w:tc>
      </w:tr>
      <w:tr w:rsidR="00BC41CB" w:rsidRPr="00BC41CB" w:rsidTr="008E1DB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1C3" w:rsidRPr="00BC41CB" w:rsidTr="008E1D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61C3" w:rsidRPr="00BC41CB" w:rsidTr="008E1DB5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61C3" w:rsidRPr="00BC41CB" w:rsidRDefault="00FE61C3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C41CB" w:rsidRPr="00BC41CB" w:rsidSect="008E1DB5">
          <w:pgSz w:w="16838" w:h="11905" w:orient="landscape"/>
          <w:pgMar w:top="1134" w:right="851" w:bottom="1134" w:left="1701" w:header="720" w:footer="720" w:gutter="0"/>
          <w:cols w:space="720"/>
          <w:noEndnote/>
        </w:sectPr>
      </w:pPr>
    </w:p>
    <w:p w:rsidR="00BC41CB" w:rsidRPr="00BC41CB" w:rsidRDefault="00BC41CB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ar1447"/>
      <w:bookmarkEnd w:id="30"/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7C6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506DC" w:rsidRPr="007506DC" w:rsidRDefault="00DA05C9" w:rsidP="007506DC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8E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разработке, формировании и реализации муниципальных программ </w:t>
      </w:r>
      <w:r w:rsidR="00C03E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r w:rsidR="007506DC" w:rsidRPr="00750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315364" w:rsidRPr="00BC41CB" w:rsidRDefault="00315364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1536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</w:t>
      </w: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исполнитель_____________________________________________________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достижении показателей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842"/>
        <w:gridCol w:w="879"/>
        <w:gridCol w:w="1106"/>
        <w:gridCol w:w="1003"/>
        <w:gridCol w:w="1038"/>
        <w:gridCol w:w="1077"/>
        <w:gridCol w:w="1542"/>
      </w:tblGrid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на отчетный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на отчетный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(%)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принимаемые в целях устранения невыполнения планового значения показателя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цели муниципальной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(при ее наличии)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 (задача 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цели подпрограммы (задачи </w:t>
            </w: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задачи подпрограммы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основного мероприятия 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мероприятия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1CB" w:rsidRPr="00BC41CB" w:rsidTr="00045D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41CB" w:rsidRPr="00BC41CB" w:rsidRDefault="00BC41CB" w:rsidP="00BC4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</w:p>
    <w:p w:rsidR="00BC41CB" w:rsidRPr="00BC41CB" w:rsidRDefault="00BC41CB" w:rsidP="00BC4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использовании средств бюджета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1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муниципальной программы</w:t>
      </w:r>
    </w:p>
    <w:p w:rsidR="00BC41CB" w:rsidRPr="00BC41CB" w:rsidRDefault="00BC41CB" w:rsidP="00BC41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55"/>
        <w:gridCol w:w="1980"/>
        <w:gridCol w:w="1876"/>
        <w:gridCol w:w="1918"/>
        <w:gridCol w:w="1388"/>
      </w:tblGrid>
      <w:tr w:rsidR="007C6CCC" w:rsidRPr="00BC41CB" w:rsidTr="007C6CCC">
        <w:trPr>
          <w:trHeight w:val="3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Код целевой статьи расходов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распорядитель средств  местного бюджета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Расходы (тыс. руб.), годы</w:t>
            </w: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утверждено муниципальной программой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кассовое исполнение</w:t>
            </w: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</w:tr>
      <w:tr w:rsidR="007C6CCC" w:rsidRPr="00BC41CB" w:rsidTr="007C6CCC">
        <w:trPr>
          <w:trHeight w:val="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Подпрограмма 1 (при ее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Мероприятие 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Мероприятие 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Ведомственная целевая программа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C6CCC" w:rsidRPr="00BC41CB" w:rsidTr="007C6C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41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CCC" w:rsidRPr="00BC41CB" w:rsidRDefault="007C6CCC" w:rsidP="00BC41CB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Par27"/>
      <w:bookmarkEnd w:id="31"/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1CB" w:rsidRPr="00BC41CB" w:rsidRDefault="00BC41CB" w:rsidP="00BC41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56FB" w:rsidRDefault="00CF56FB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D83BF2" w:rsidRDefault="00D83BF2"/>
    <w:p w:rsidR="00C03EEC" w:rsidRDefault="00C03EEC"/>
    <w:p w:rsidR="00C03EEC" w:rsidRDefault="00C03EEC"/>
    <w:p w:rsidR="00D83BF2" w:rsidRDefault="00D83BF2"/>
    <w:p w:rsidR="00E47094" w:rsidRDefault="00F11725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F1172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47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33571">
        <w:rPr>
          <w:rFonts w:ascii="Times New Roman" w:hAnsi="Times New Roman"/>
          <w:sz w:val="24"/>
          <w:szCs w:val="24"/>
        </w:rPr>
        <w:t xml:space="preserve"> к</w:t>
      </w:r>
    </w:p>
    <w:p w:rsidR="00F11725" w:rsidRPr="00F11725" w:rsidRDefault="00E47094" w:rsidP="00E47094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C03EEC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C03EEC">
        <w:rPr>
          <w:rFonts w:ascii="Times New Roman" w:hAnsi="Times New Roman"/>
          <w:sz w:val="24"/>
          <w:szCs w:val="24"/>
        </w:rPr>
        <w:t xml:space="preserve"> 30.10.2018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03EEC">
        <w:rPr>
          <w:rFonts w:ascii="Times New Roman" w:hAnsi="Times New Roman"/>
          <w:sz w:val="24"/>
          <w:szCs w:val="24"/>
        </w:rPr>
        <w:t xml:space="preserve"> 262</w:t>
      </w:r>
      <w:r w:rsidR="00F11725" w:rsidRPr="00F11725">
        <w:rPr>
          <w:rFonts w:ascii="Times New Roman" w:hAnsi="Times New Roman"/>
          <w:sz w:val="24"/>
          <w:szCs w:val="24"/>
        </w:rPr>
        <w:t xml:space="preserve"> </w:t>
      </w: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25" w:rsidRDefault="00F11725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50E" w:rsidRPr="00315364" w:rsidRDefault="00FF587F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М</w:t>
      </w:r>
      <w:r w:rsidR="00E47094" w:rsidRPr="00315364">
        <w:rPr>
          <w:rFonts w:ascii="Times New Roman" w:hAnsi="Times New Roman" w:cs="Times New Roman"/>
          <w:b/>
          <w:sz w:val="24"/>
          <w:szCs w:val="24"/>
        </w:rPr>
        <w:t>ЕТОДИКА</w:t>
      </w:r>
    </w:p>
    <w:p w:rsidR="0073550E" w:rsidRPr="00E33571" w:rsidRDefault="0073550E" w:rsidP="007355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364">
        <w:rPr>
          <w:rFonts w:ascii="Times New Roman" w:hAnsi="Times New Roman" w:cs="Times New Roman"/>
          <w:b/>
          <w:sz w:val="24"/>
          <w:szCs w:val="24"/>
        </w:rPr>
        <w:t>оценки эффективности реализации муниципальн</w:t>
      </w:r>
      <w:r w:rsidR="00315364" w:rsidRPr="00315364">
        <w:rPr>
          <w:rFonts w:ascii="Times New Roman" w:hAnsi="Times New Roman" w:cs="Times New Roman"/>
          <w:b/>
          <w:sz w:val="24"/>
          <w:szCs w:val="24"/>
        </w:rPr>
        <w:t>ых программ</w:t>
      </w:r>
      <w:r w:rsidRPr="003153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1.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</w:t>
      </w:r>
      <w:r w:rsidR="001E3184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184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ежегодно осуществляется </w:t>
      </w:r>
      <w:r w:rsidR="001E3184">
        <w:rPr>
          <w:rFonts w:ascii="Times New Roman" w:hAnsi="Times New Roman" w:cs="Times New Roman"/>
          <w:sz w:val="24"/>
          <w:szCs w:val="24"/>
        </w:rPr>
        <w:t>ответственным исполнителем</w:t>
      </w:r>
      <w:r w:rsidRPr="0073550E">
        <w:rPr>
          <w:rFonts w:ascii="Times New Roman" w:hAnsi="Times New Roman" w:cs="Times New Roman"/>
          <w:sz w:val="24"/>
          <w:szCs w:val="24"/>
        </w:rPr>
        <w:t xml:space="preserve"> на основе годов</w:t>
      </w:r>
      <w:r w:rsidR="001E3184">
        <w:rPr>
          <w:rFonts w:ascii="Times New Roman" w:hAnsi="Times New Roman" w:cs="Times New Roman"/>
          <w:sz w:val="24"/>
          <w:szCs w:val="24"/>
        </w:rPr>
        <w:t>ого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E3184">
        <w:rPr>
          <w:rFonts w:ascii="Times New Roman" w:hAnsi="Times New Roman" w:cs="Times New Roman"/>
          <w:sz w:val="24"/>
          <w:szCs w:val="24"/>
        </w:rPr>
        <w:t>а</w:t>
      </w:r>
      <w:r w:rsidRPr="0073550E">
        <w:rPr>
          <w:rFonts w:ascii="Times New Roman" w:hAnsi="Times New Roman" w:cs="Times New Roman"/>
          <w:sz w:val="24"/>
          <w:szCs w:val="24"/>
        </w:rPr>
        <w:t xml:space="preserve"> о ходе реализации и об оценке эффективности муниципальной программы.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Методика оценки эффективности реализации муниципальной программы (подпрограммы) учитывает необходимость проведения оценок: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(подпрограммы). 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 определяется путем сопоставления фактически достигнутых значений показателей (индикаторов) муниципальной программы (подпрограммы) и их плановых значений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BE2A7F" w:rsidP="001E318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СДЦ=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СД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nary>
          </m:e>
        </m:d>
        <m:r>
          <w:rPr>
            <w:rFonts w:ascii="Cambria Math" w:hAnsi="Cambria Math" w:cs="Times New Roman"/>
            <w:sz w:val="24"/>
            <w:szCs w:val="24"/>
          </w:rPr>
          <m:t>*0,4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 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СДЦ - степень достижения целей (решения задач муниципальной 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 xml:space="preserve">  - степень достижения i-го целевого индикатора (показателя результатов) муниципальной программы (подпрограммы);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n - количество индикаторов (показателей) муниципальной программы (подпрограммы).</w:t>
      </w:r>
    </w:p>
    <w:p w:rsid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Степень достижения i-го целевого индикатора (показателя результатов) муниципальной программы (подпрограммы)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73550E">
        <w:rPr>
          <w:rFonts w:ascii="Times New Roman" w:hAnsi="Times New Roman" w:cs="Times New Roman"/>
          <w:sz w:val="24"/>
          <w:szCs w:val="24"/>
        </w:rPr>
        <w:t>) может рассчитываться по формуле: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Default="00785544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BE2A7F" w:rsidRPr="0073550E" w:rsidRDefault="00BE2A7F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85544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фактическое значение i-го целевого индикатора (показателя результатов) муниципальной программы (подпрограммы);</w:t>
      </w:r>
    </w:p>
    <w:p w:rsidR="0073550E" w:rsidRDefault="00785544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ЦИ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ПЛ</m:t>
            </m:r>
          </m:sub>
        </m:sSub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 - плановое значение i-го целевого индикатора (показателя результатов) муниципальной программы (подпрограммы) (для индикаторов (показателей), желаемой тенденцией развития которых является рост значений) или</w:t>
      </w:r>
    </w:p>
    <w:p w:rsidR="00BE2A7F" w:rsidRPr="0073550E" w:rsidRDefault="00BE2A7F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85544" w:rsidP="00BE2A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ПЛ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ЦИ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Ф</m:t>
                </m:r>
              </m:sub>
            </m:sSub>
          </m:den>
        </m:f>
      </m:oMath>
      <w:r w:rsidR="00BE2A7F">
        <w:rPr>
          <w:rFonts w:ascii="Times New Roman" w:hAnsi="Times New Roman" w:cs="Times New Roman"/>
          <w:sz w:val="24"/>
          <w:szCs w:val="24"/>
        </w:rPr>
        <w:t xml:space="preserve">  </w:t>
      </w:r>
      <w:r w:rsidR="0073550E" w:rsidRPr="0073550E">
        <w:rPr>
          <w:rFonts w:ascii="Times New Roman" w:hAnsi="Times New Roman" w:cs="Times New Roman"/>
          <w:sz w:val="24"/>
          <w:szCs w:val="24"/>
        </w:rPr>
        <w:t>, где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(для целевых индикаторов (показателей), желаемой тенденцией развития которых является снижение значений);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(подпрограммы), определяется путем сопоставления плановых и фактических объемов финансирования муниципальной программы (подпрограммы) по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2B2538" w:rsidP="002B25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ФФ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ФП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*0,6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73550E" w:rsidRDefault="00F953C8" w:rsidP="002B2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УФ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</w:t>
      </w:r>
      <w:r w:rsidR="002B2538">
        <w:rPr>
          <w:rFonts w:ascii="Times New Roman" w:hAnsi="Times New Roman" w:cs="Times New Roman"/>
          <w:sz w:val="24"/>
          <w:szCs w:val="24"/>
        </w:rPr>
        <w:t>льной программы (подпрограммы);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ФФ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F953C8">
        <w:rPr>
          <w:rFonts w:ascii="Times New Roman" w:hAnsi="Times New Roman" w:cs="Times New Roman"/>
          <w:sz w:val="24"/>
          <w:szCs w:val="24"/>
        </w:rPr>
        <w:t>–</w:t>
      </w:r>
      <w:r w:rsidR="0073550E" w:rsidRPr="0073550E">
        <w:rPr>
          <w:rFonts w:ascii="Times New Roman" w:hAnsi="Times New Roman" w:cs="Times New Roman"/>
          <w:sz w:val="24"/>
          <w:szCs w:val="24"/>
        </w:rPr>
        <w:t xml:space="preserve"> фактический объем расходов на реализацию муниципальной программы (подпрограммы) за отчетный год;</w:t>
      </w:r>
    </w:p>
    <w:p w:rsidR="0073550E" w:rsidRPr="0073550E" w:rsidRDefault="002B2538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ФП</m:t>
        </m:r>
      </m:oMath>
      <w:r w:rsidR="0073550E" w:rsidRPr="0073550E">
        <w:rPr>
          <w:rFonts w:ascii="Times New Roman" w:hAnsi="Times New Roman" w:cs="Times New Roman"/>
          <w:sz w:val="24"/>
          <w:szCs w:val="24"/>
        </w:rPr>
        <w:t xml:space="preserve"> – плановый объем расходов на реализацию муниципальной программы (подпрограммы) в отчетном году.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3. Эффективность реализации муниципальной программы (подпрограммы) (</w:t>
      </w:r>
      <m:oMath>
        <m:r>
          <w:rPr>
            <w:rFonts w:ascii="Cambria Math" w:hAnsi="Cambria Math" w:cs="Times New Roman"/>
            <w:sz w:val="24"/>
            <w:szCs w:val="24"/>
          </w:rPr>
          <m:t>ЭП</m:t>
        </m:r>
      </m:oMath>
      <w:r w:rsidRPr="0073550E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50E" w:rsidRPr="00F953C8" w:rsidRDefault="0035751E" w:rsidP="0073550E">
      <w:pPr>
        <w:spacing w:after="0" w:line="240" w:lineRule="auto"/>
        <w:ind w:firstLine="567"/>
        <w:jc w:val="both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ЭП = СДЦ+УФ</m:t>
          </m:r>
        </m:oMath>
      </m:oMathPara>
    </w:p>
    <w:p w:rsidR="0073550E" w:rsidRPr="0073550E" w:rsidRDefault="0073550E" w:rsidP="007355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BF2" w:rsidRDefault="0073550E" w:rsidP="00784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50E">
        <w:rPr>
          <w:rFonts w:ascii="Times New Roman" w:hAnsi="Times New Roman" w:cs="Times New Roman"/>
          <w:sz w:val="24"/>
          <w:szCs w:val="24"/>
        </w:rPr>
        <w:t>4. По результатам ежегодной оценки эффективности реализации муниципальн</w:t>
      </w:r>
      <w:r w:rsidR="00796960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96960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9696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определяет</w:t>
      </w:r>
      <w:r w:rsidRPr="0073550E">
        <w:rPr>
          <w:rFonts w:ascii="Times New Roman" w:hAnsi="Times New Roman" w:cs="Times New Roman"/>
          <w:sz w:val="24"/>
          <w:szCs w:val="24"/>
        </w:rPr>
        <w:t xml:space="preserve"> </w:t>
      </w:r>
      <w:r w:rsidR="00784CD1">
        <w:rPr>
          <w:rFonts w:ascii="Times New Roman" w:hAnsi="Times New Roman" w:cs="Times New Roman"/>
          <w:sz w:val="24"/>
          <w:szCs w:val="24"/>
        </w:rPr>
        <w:t>уровень</w:t>
      </w:r>
      <w:r w:rsidRPr="0073550E">
        <w:rPr>
          <w:rFonts w:ascii="Times New Roman" w:hAnsi="Times New Roman" w:cs="Times New Roman"/>
          <w:sz w:val="24"/>
          <w:szCs w:val="24"/>
        </w:rPr>
        <w:t xml:space="preserve"> эффективности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ы</w:t>
      </w:r>
      <w:r w:rsidRPr="0073550E">
        <w:rPr>
          <w:rFonts w:ascii="Times New Roman" w:hAnsi="Times New Roman" w:cs="Times New Roman"/>
          <w:sz w:val="24"/>
          <w:szCs w:val="24"/>
        </w:rPr>
        <w:t xml:space="preserve"> в отчетном году и присваивает муниципальн</w:t>
      </w:r>
      <w:r w:rsidR="00784CD1">
        <w:rPr>
          <w:rFonts w:ascii="Times New Roman" w:hAnsi="Times New Roman" w:cs="Times New Roman"/>
          <w:sz w:val="24"/>
          <w:szCs w:val="24"/>
        </w:rPr>
        <w:t>ой</w:t>
      </w:r>
      <w:r w:rsidRPr="007355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84CD1">
        <w:rPr>
          <w:rFonts w:ascii="Times New Roman" w:hAnsi="Times New Roman" w:cs="Times New Roman"/>
          <w:sz w:val="24"/>
          <w:szCs w:val="24"/>
        </w:rPr>
        <w:t>е соответствующая степень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ЭП</m:t>
        </m:r>
      </m:oMath>
      <w:r w:rsidR="00784CD1">
        <w:rPr>
          <w:rFonts w:ascii="Times New Roman" w:hAnsi="Times New Roman" w:cs="Times New Roman"/>
          <w:sz w:val="24"/>
          <w:szCs w:val="24"/>
        </w:rPr>
        <w:t>):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 - высокоэффективная;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 - эффективная;</w:t>
      </w:r>
    </w:p>
    <w:p w:rsidR="00784CD1" w:rsidRP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III - низкоэффективная;</w:t>
      </w:r>
    </w:p>
    <w:p w:rsidR="00784CD1" w:rsidRDefault="00784CD1" w:rsidP="00784C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IV - неэффективная.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высокоэффективной, если R более 1.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эффективной, если R выше 0,8, но не более 1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низкоэффективной, если R выше 0,5, но не более 0,8 включительно.</w:t>
      </w:r>
    </w:p>
    <w:p w:rsidR="004F2D4E" w:rsidRP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признается неэффективной, если R не более 0,5 включительно.</w:t>
      </w:r>
    </w:p>
    <w:p w:rsidR="004F2D4E" w:rsidRDefault="004F2D4E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94" w:rsidRPr="00784CD1" w:rsidRDefault="00E47094" w:rsidP="004F2D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094" w:rsidRPr="00784CD1" w:rsidSect="0078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4D3" w:rsidRDefault="00BB54D3">
      <w:pPr>
        <w:spacing w:after="0" w:line="240" w:lineRule="auto"/>
      </w:pPr>
      <w:r>
        <w:separator/>
      </w:r>
    </w:p>
  </w:endnote>
  <w:endnote w:type="continuationSeparator" w:id="0">
    <w:p w:rsidR="00BB54D3" w:rsidRDefault="00B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4D3" w:rsidRDefault="00BB54D3">
      <w:pPr>
        <w:spacing w:after="0" w:line="240" w:lineRule="auto"/>
      </w:pPr>
      <w:r>
        <w:separator/>
      </w:r>
    </w:p>
  </w:footnote>
  <w:footnote w:type="continuationSeparator" w:id="0">
    <w:p w:rsidR="00BB54D3" w:rsidRDefault="00B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969248"/>
      <w:docPartObj>
        <w:docPartGallery w:val="Page Numbers (Top of Page)"/>
        <w:docPartUnique/>
      </w:docPartObj>
    </w:sdtPr>
    <w:sdtContent>
      <w:p w:rsidR="00C03EEC" w:rsidRDefault="00C03EEC">
        <w:pPr>
          <w:pStyle w:val="a8"/>
          <w:jc w:val="center"/>
        </w:pPr>
        <w:fldSimple w:instr="PAGE   \* MERGEFORMAT">
          <w:r w:rsidR="00F40C74">
            <w:rPr>
              <w:noProof/>
            </w:rPr>
            <w:t>2</w:t>
          </w:r>
        </w:fldSimple>
      </w:p>
    </w:sdtContent>
  </w:sdt>
  <w:p w:rsidR="00C03EEC" w:rsidRDefault="00C03EE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EC" w:rsidRDefault="00C03EEC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1CB"/>
    <w:rsid w:val="000014B9"/>
    <w:rsid w:val="00045DD8"/>
    <w:rsid w:val="000F735F"/>
    <w:rsid w:val="00117F35"/>
    <w:rsid w:val="001645A6"/>
    <w:rsid w:val="001E3184"/>
    <w:rsid w:val="00231B99"/>
    <w:rsid w:val="002B2538"/>
    <w:rsid w:val="002E2B9D"/>
    <w:rsid w:val="00315364"/>
    <w:rsid w:val="0035751E"/>
    <w:rsid w:val="003C3929"/>
    <w:rsid w:val="004426A0"/>
    <w:rsid w:val="0045518B"/>
    <w:rsid w:val="0047502C"/>
    <w:rsid w:val="00492465"/>
    <w:rsid w:val="004F2D4E"/>
    <w:rsid w:val="00515E2F"/>
    <w:rsid w:val="0054609F"/>
    <w:rsid w:val="00615870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3550E"/>
    <w:rsid w:val="007400C7"/>
    <w:rsid w:val="007506DC"/>
    <w:rsid w:val="00784CD1"/>
    <w:rsid w:val="00785544"/>
    <w:rsid w:val="00796960"/>
    <w:rsid w:val="007B57D0"/>
    <w:rsid w:val="007C6CCC"/>
    <w:rsid w:val="007F0E6D"/>
    <w:rsid w:val="008130F3"/>
    <w:rsid w:val="00892F9A"/>
    <w:rsid w:val="008D48E8"/>
    <w:rsid w:val="008E1DB5"/>
    <w:rsid w:val="009360B2"/>
    <w:rsid w:val="00964610"/>
    <w:rsid w:val="009B6F0E"/>
    <w:rsid w:val="009F2E61"/>
    <w:rsid w:val="00A1527C"/>
    <w:rsid w:val="00A74213"/>
    <w:rsid w:val="00BB54D3"/>
    <w:rsid w:val="00BC41CB"/>
    <w:rsid w:val="00BE2A7F"/>
    <w:rsid w:val="00C03EEC"/>
    <w:rsid w:val="00C92918"/>
    <w:rsid w:val="00CF56FB"/>
    <w:rsid w:val="00D2408F"/>
    <w:rsid w:val="00D25E0E"/>
    <w:rsid w:val="00D83BF2"/>
    <w:rsid w:val="00DA05C9"/>
    <w:rsid w:val="00DC5698"/>
    <w:rsid w:val="00DD0516"/>
    <w:rsid w:val="00E1617E"/>
    <w:rsid w:val="00E33320"/>
    <w:rsid w:val="00E33571"/>
    <w:rsid w:val="00E36E26"/>
    <w:rsid w:val="00E37EDE"/>
    <w:rsid w:val="00E465DA"/>
    <w:rsid w:val="00E47094"/>
    <w:rsid w:val="00EB5857"/>
    <w:rsid w:val="00F04B18"/>
    <w:rsid w:val="00F05555"/>
    <w:rsid w:val="00F11725"/>
    <w:rsid w:val="00F21716"/>
    <w:rsid w:val="00F24E82"/>
    <w:rsid w:val="00F25348"/>
    <w:rsid w:val="00F2759A"/>
    <w:rsid w:val="00F36238"/>
    <w:rsid w:val="00F40C74"/>
    <w:rsid w:val="00F57B8E"/>
    <w:rsid w:val="00F70663"/>
    <w:rsid w:val="00F953C8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  <w:style w:type="paragraph" w:styleId="af0">
    <w:name w:val="No Spacing"/>
    <w:uiPriority w:val="1"/>
    <w:qFormat/>
    <w:rsid w:val="00F40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537F4335C171CDFB1297E3D3B73EF550F6BE4479B38F29C3EEE8FEBF8A12DFD33093CD18C7F6D07002AAs1E4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537F4335C171CDFB1297E3D3B73EF550F6BE4479B38F29C3EEE8FEBF8A12DFD33093CD18C7F6D07003AAs1E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4F42D0758255AFD25B4100735F51A9FF3E38E6D2DA3797097B1299E0651E1724A7EB25731C9FC3E6f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F42D0758255AFD25B4100735F51A9F7393DE0DAD06A9D01221E9BE76A410023EEE724731C9FECfA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DF44-77A3-47C6-9DCA-6BC469E5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4</cp:revision>
  <cp:lastPrinted>2018-10-30T13:06:00Z</cp:lastPrinted>
  <dcterms:created xsi:type="dcterms:W3CDTF">2018-10-26T03:55:00Z</dcterms:created>
  <dcterms:modified xsi:type="dcterms:W3CDTF">2018-10-30T13:06:00Z</dcterms:modified>
</cp:coreProperties>
</file>